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A8" w:rsidRDefault="00B127A8" w:rsidP="00B127A8">
      <w:pPr>
        <w:spacing w:after="120"/>
        <w:jc w:val="center"/>
      </w:pPr>
      <w:r>
        <w:rPr>
          <w:b/>
          <w:bCs/>
        </w:rPr>
        <w:t>TEHNISKĀ SPECIFIKĀCIJA</w:t>
      </w:r>
      <w:r>
        <w:rPr>
          <w:b/>
          <w:sz w:val="28"/>
          <w:szCs w:val="28"/>
        </w:rPr>
        <w:t xml:space="preserve"> </w:t>
      </w:r>
    </w:p>
    <w:p w:rsidR="00B127A8" w:rsidRDefault="00B127A8" w:rsidP="00B127A8">
      <w:pPr>
        <w:jc w:val="center"/>
        <w:rPr>
          <w:b/>
          <w:bCs/>
          <w:sz w:val="26"/>
          <w:szCs w:val="26"/>
        </w:rPr>
      </w:pPr>
      <w:r>
        <w:rPr>
          <w:b/>
          <w:bCs/>
          <w:sz w:val="26"/>
          <w:szCs w:val="26"/>
        </w:rPr>
        <w:t>Laboratorijas izmeklējumu veikšana</w:t>
      </w:r>
    </w:p>
    <w:p w:rsidR="00B127A8" w:rsidRDefault="00B127A8" w:rsidP="00B127A8">
      <w:pPr>
        <w:jc w:val="center"/>
        <w:rPr>
          <w:b/>
          <w:bCs/>
          <w:sz w:val="26"/>
          <w:szCs w:val="26"/>
        </w:rPr>
      </w:pPr>
    </w:p>
    <w:tbl>
      <w:tblPr>
        <w:tblW w:w="10207" w:type="dxa"/>
        <w:tblInd w:w="-714" w:type="dxa"/>
        <w:tblCellMar>
          <w:left w:w="10" w:type="dxa"/>
          <w:right w:w="10" w:type="dxa"/>
        </w:tblCellMar>
        <w:tblLook w:val="04A0" w:firstRow="1" w:lastRow="0" w:firstColumn="1" w:lastColumn="0" w:noHBand="0" w:noVBand="1"/>
      </w:tblPr>
      <w:tblGrid>
        <w:gridCol w:w="6805"/>
        <w:gridCol w:w="3402"/>
      </w:tblGrid>
      <w:tr w:rsidR="00B127A8" w:rsidTr="00B127A8">
        <w:trPr>
          <w:trHeight w:val="275"/>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spacing w:line="360" w:lineRule="auto"/>
              <w:jc w:val="center"/>
            </w:pPr>
            <w:r>
              <w:rPr>
                <w:b/>
                <w:sz w:val="22"/>
                <w:szCs w:val="22"/>
              </w:rPr>
              <w:t>Pasūtītāja prasības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Pr="00B127A8" w:rsidRDefault="00B127A8" w:rsidP="00B127A8">
            <w:pPr>
              <w:spacing w:line="360" w:lineRule="auto"/>
              <w:jc w:val="center"/>
            </w:pPr>
            <w:r>
              <w:rPr>
                <w:b/>
                <w:sz w:val="22"/>
                <w:szCs w:val="22"/>
              </w:rPr>
              <w:t xml:space="preserve">Pretendenta piedāvājums </w:t>
            </w:r>
          </w:p>
        </w:tc>
      </w:tr>
      <w:tr w:rsidR="00B127A8" w:rsidTr="00B127A8">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BodyText2"/>
              <w:numPr>
                <w:ilvl w:val="0"/>
                <w:numId w:val="2"/>
              </w:numPr>
              <w:overflowPunct w:val="0"/>
              <w:autoSpaceDE w:val="0"/>
              <w:spacing w:after="0" w:line="240" w:lineRule="auto"/>
              <w:ind w:left="317"/>
              <w:jc w:val="both"/>
            </w:pPr>
            <w:r>
              <w:t xml:space="preserve">Pretendentam jānodrošina pasūtītāja nosūtītajiem pacientiem šādu laboratorisko izmeklējumu veikšana: </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Pilna asins aina (</w:t>
            </w:r>
            <w:proofErr w:type="spellStart"/>
            <w:r w:rsidRPr="00B127A8">
              <w:t>Hb,L,Er,Ht,Tr,Kr.ind.,L</w:t>
            </w:r>
            <w:proofErr w:type="spellEnd"/>
            <w:r w:rsidRPr="00B127A8">
              <w:t xml:space="preserve"> </w:t>
            </w:r>
            <w:proofErr w:type="spellStart"/>
            <w:r w:rsidRPr="00B127A8">
              <w:t>formula+EGĀ</w:t>
            </w:r>
            <w:proofErr w:type="spellEnd"/>
            <w:r w:rsidRPr="00B127A8">
              <w:t>);</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Nepilna asins aina (</w:t>
            </w:r>
            <w:proofErr w:type="spellStart"/>
            <w:r w:rsidRPr="00B127A8">
              <w:t>Hb,L,Er,Ht,Tr,Kr.ind</w:t>
            </w:r>
            <w:proofErr w:type="spellEnd"/>
            <w:r w:rsidRPr="00B127A8">
              <w:t xml:space="preserve"> + EGĀ);</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Uzsējums uz patogēno zarnu floru;</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Bilirubīns;</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ASAT;</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ALAT;</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Slēpto asiņu noteikšana fēcēs;</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RPR (SED);</w:t>
            </w:r>
          </w:p>
          <w:p w:rsidR="00B127A8" w:rsidRPr="00B127A8" w:rsidRDefault="00B127A8" w:rsidP="00B127A8">
            <w:pPr>
              <w:pStyle w:val="BodyText2"/>
              <w:numPr>
                <w:ilvl w:val="1"/>
                <w:numId w:val="3"/>
              </w:numPr>
              <w:overflowPunct w:val="0"/>
              <w:autoSpaceDE w:val="0"/>
              <w:spacing w:after="0" w:line="240" w:lineRule="auto"/>
              <w:ind w:left="743" w:hanging="448"/>
              <w:jc w:val="both"/>
            </w:pPr>
            <w:r w:rsidRPr="00B127A8">
              <w:t>Urīna analīze;</w:t>
            </w:r>
          </w:p>
          <w:p w:rsidR="00B127A8" w:rsidRPr="00B127A8" w:rsidRDefault="00B127A8" w:rsidP="00B127A8">
            <w:pPr>
              <w:pStyle w:val="BodyText2"/>
              <w:numPr>
                <w:ilvl w:val="1"/>
                <w:numId w:val="3"/>
              </w:numPr>
              <w:overflowPunct w:val="0"/>
              <w:autoSpaceDE w:val="0"/>
              <w:spacing w:after="0" w:line="240" w:lineRule="auto"/>
              <w:ind w:left="885" w:hanging="590"/>
              <w:jc w:val="both"/>
            </w:pPr>
            <w:proofErr w:type="spellStart"/>
            <w:r w:rsidRPr="00B127A8">
              <w:t>Protrombīna</w:t>
            </w:r>
            <w:proofErr w:type="spellEnd"/>
            <w:r w:rsidRPr="00B127A8">
              <w:t xml:space="preserve"> indekss;</w:t>
            </w:r>
          </w:p>
          <w:p w:rsidR="00B127A8" w:rsidRDefault="00B127A8" w:rsidP="00B127A8">
            <w:pPr>
              <w:pStyle w:val="BodyText2"/>
              <w:numPr>
                <w:ilvl w:val="1"/>
                <w:numId w:val="3"/>
              </w:numPr>
              <w:overflowPunct w:val="0"/>
              <w:autoSpaceDE w:val="0"/>
              <w:spacing w:after="0" w:line="240" w:lineRule="auto"/>
              <w:ind w:left="885" w:hanging="590"/>
              <w:jc w:val="both"/>
            </w:pPr>
            <w:r w:rsidRPr="00B127A8">
              <w:t>APTL.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ind w:left="284"/>
              <w:jc w:val="center"/>
              <w:rPr>
                <w:i/>
                <w:iCs/>
              </w:rPr>
            </w:pPr>
          </w:p>
        </w:tc>
      </w:tr>
      <w:tr w:rsidR="00B127A8" w:rsidTr="00B127A8">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BodyText2"/>
              <w:numPr>
                <w:ilvl w:val="0"/>
                <w:numId w:val="2"/>
              </w:numPr>
              <w:overflowPunct w:val="0"/>
              <w:autoSpaceDE w:val="0"/>
              <w:spacing w:after="0" w:line="240" w:lineRule="auto"/>
              <w:ind w:left="317"/>
            </w:pPr>
            <w:r>
              <w:t xml:space="preserve">Pretendentam jānodrošina savās telpās pacienta materiāla savākšana, apstrāde, analizēšana un testēšanas pārskatu sagatavošana ne ilgāk kā 24 stundu (izņemot 1.3.apakšpunktā minētos izmeklējumus, kas tiek nodrošināti ne ilgāk kā 130 stundu) laikā no paraugu paņemšanas brīža.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ind w:left="284"/>
              <w:jc w:val="center"/>
              <w:rPr>
                <w:i/>
                <w:iCs/>
              </w:rPr>
            </w:pPr>
          </w:p>
        </w:tc>
      </w:tr>
      <w:tr w:rsidR="00B127A8" w:rsidTr="00B127A8">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BodyText2"/>
              <w:numPr>
                <w:ilvl w:val="0"/>
                <w:numId w:val="2"/>
              </w:numPr>
              <w:overflowPunct w:val="0"/>
              <w:autoSpaceDE w:val="0"/>
              <w:spacing w:after="0" w:line="240" w:lineRule="auto"/>
              <w:ind w:left="317"/>
            </w:pPr>
            <w:r>
              <w:t>Pretendents nodrošina, ka tā klientu apkalpošanas (paraugu savākšanai) punkti (vismaz viens punkts blakus katrai filiālei) un to darba laiki ir no plkst. 8:00 - 19:00 vai no plkst. 8:00-20:00 (atkarībā no filiāles darba laika). Pasūtītāja filiāles atrodas šādās adresēs Rīgā:</w:t>
            </w:r>
          </w:p>
          <w:p w:rsidR="00B127A8" w:rsidRDefault="00B127A8" w:rsidP="00963E0D">
            <w:pPr>
              <w:pStyle w:val="BodyText2"/>
              <w:spacing w:after="0" w:line="240" w:lineRule="auto"/>
              <w:ind w:left="540"/>
            </w:pPr>
            <w:r>
              <w:t xml:space="preserve">3.1. Filiāle “Ziepniekkalns”, </w:t>
            </w:r>
            <w:r w:rsidR="0040039F">
              <w:t>Spulgas iela 24</w:t>
            </w:r>
            <w:r>
              <w:t>;</w:t>
            </w:r>
          </w:p>
          <w:p w:rsidR="00B127A8" w:rsidRDefault="00B127A8" w:rsidP="00963E0D">
            <w:pPr>
              <w:pStyle w:val="BodyText2"/>
              <w:spacing w:after="0" w:line="240" w:lineRule="auto"/>
              <w:ind w:left="540"/>
            </w:pPr>
            <w:r>
              <w:t>3.2. Filiāle “Ķengarags”, Kaņiera ielā 13;</w:t>
            </w:r>
          </w:p>
          <w:p w:rsidR="00B127A8" w:rsidRDefault="00B127A8" w:rsidP="00963E0D">
            <w:pPr>
              <w:pStyle w:val="BodyText2"/>
              <w:spacing w:after="0" w:line="240" w:lineRule="auto"/>
              <w:ind w:left="540"/>
            </w:pPr>
            <w:r>
              <w:t>3.3. Filiāle “Bolderāja”, Kapteiņu ielā 7</w:t>
            </w:r>
            <w:r w:rsidR="0040039F">
              <w:t>/Mežrozīšu ielā 43</w:t>
            </w:r>
            <w:bookmarkStart w:id="0" w:name="_GoBack"/>
            <w:bookmarkEnd w:id="0"/>
            <w:r>
              <w:t>;</w:t>
            </w:r>
          </w:p>
          <w:p w:rsidR="00B127A8" w:rsidRDefault="00B127A8" w:rsidP="00963E0D">
            <w:pPr>
              <w:pStyle w:val="BodyText2"/>
              <w:spacing w:after="0" w:line="240" w:lineRule="auto"/>
              <w:ind w:left="540"/>
            </w:pPr>
            <w:r>
              <w:t>3.4. Filiāle “Iļģuciems”, Sēlpils ielā 15;</w:t>
            </w:r>
          </w:p>
          <w:p w:rsidR="00B127A8" w:rsidRDefault="00B127A8" w:rsidP="00963E0D">
            <w:pPr>
              <w:pStyle w:val="BodyText2"/>
              <w:spacing w:after="0" w:line="240" w:lineRule="auto"/>
              <w:ind w:left="540"/>
            </w:pPr>
            <w:r>
              <w:t>3.6. Filiāle “Torņakalns”, Kokles ielā 12;</w:t>
            </w:r>
          </w:p>
          <w:p w:rsidR="00B127A8" w:rsidRDefault="00B127A8" w:rsidP="00963E0D">
            <w:pPr>
              <w:pStyle w:val="BodyText2"/>
              <w:spacing w:after="0" w:line="240" w:lineRule="auto"/>
              <w:ind w:left="540"/>
            </w:pPr>
            <w:r>
              <w:t xml:space="preserve">3.7. Filiāle “Imanta”, Imantas 8.līnijā 1, k-1.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ind w:left="284"/>
              <w:jc w:val="center"/>
              <w:rPr>
                <w:i/>
                <w:iCs/>
              </w:rPr>
            </w:pPr>
          </w:p>
        </w:tc>
      </w:tr>
      <w:tr w:rsidR="00B127A8" w:rsidTr="00B127A8">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BodyText2"/>
              <w:numPr>
                <w:ilvl w:val="0"/>
                <w:numId w:val="2"/>
              </w:numPr>
              <w:overflowPunct w:val="0"/>
              <w:autoSpaceDE w:val="0"/>
              <w:spacing w:after="0" w:line="240" w:lineRule="auto"/>
              <w:ind w:left="317"/>
            </w:pPr>
            <w:r>
              <w:rPr>
                <w:bCs/>
              </w:rPr>
              <w:t>Pretendents nodrošina laboratorisko izmeklējumu testēšanas pārskatus gan elektroniskā formā pēc testēšanas pabeigšanas, gan papīra formā.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ind w:left="284"/>
              <w:jc w:val="center"/>
              <w:rPr>
                <w:i/>
                <w:iCs/>
              </w:rPr>
            </w:pPr>
          </w:p>
        </w:tc>
      </w:tr>
      <w:tr w:rsidR="00B127A8" w:rsidTr="00B127A8">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ListParagraph"/>
              <w:numPr>
                <w:ilvl w:val="0"/>
                <w:numId w:val="2"/>
              </w:numPr>
              <w:ind w:left="317"/>
              <w:rPr>
                <w:lang w:val="lv-LV"/>
              </w:rPr>
            </w:pPr>
            <w:r>
              <w:rPr>
                <w:lang w:val="lv-LV"/>
              </w:rPr>
              <w:t xml:space="preserve">Pretendents garantē pasūtītājam konfidencialitāti - neizpauž trešajām personām bez Pasūtītāja piekrišanas informāciju par pacientu un izmeklēšanas rezultātiem, izņemot gadījumus, kad šādas informācijas sniegšana noteikta normatīvajos aktos. Iegūtie izmeklējuma materiāli un rezultāti nedrīkst tikt izmantoti pētnieciskos darbos un statistikā.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ind w:left="284"/>
              <w:jc w:val="center"/>
              <w:rPr>
                <w:i/>
                <w:iCs/>
              </w:rPr>
            </w:pPr>
          </w:p>
        </w:tc>
      </w:tr>
    </w:tbl>
    <w:p w:rsidR="00B127A8" w:rsidRDefault="00B127A8" w:rsidP="00B127A8"/>
    <w:p w:rsidR="00B127A8" w:rsidRDefault="00B127A8" w:rsidP="00B127A8">
      <w:pPr>
        <w:rPr>
          <w:b/>
        </w:rPr>
      </w:pPr>
      <w:r w:rsidRPr="0057005B">
        <w:t>Pretendenta nosaukums:</w:t>
      </w:r>
      <w:r>
        <w:rPr>
          <w:b/>
        </w:rPr>
        <w:t xml:space="preserve"> ________________________</w:t>
      </w:r>
    </w:p>
    <w:p w:rsidR="00B127A8" w:rsidRDefault="00B127A8" w:rsidP="00B127A8">
      <w:pPr>
        <w:rPr>
          <w:b/>
        </w:rPr>
      </w:pPr>
    </w:p>
    <w:p w:rsidR="00B127A8" w:rsidRDefault="00B127A8" w:rsidP="00B127A8">
      <w:pPr>
        <w:rPr>
          <w:u w:val="single"/>
        </w:rPr>
      </w:pPr>
      <w:r w:rsidRPr="00225D80">
        <w:t xml:space="preserve">Paraksts: </w:t>
      </w:r>
      <w:r w:rsidRPr="00225D80">
        <w:rPr>
          <w:u w:val="single"/>
        </w:rPr>
        <w:tab/>
      </w:r>
      <w:r w:rsidRPr="00225D80">
        <w:rPr>
          <w:u w:val="single"/>
        </w:rPr>
        <w:tab/>
      </w:r>
      <w:r w:rsidRPr="00225D80">
        <w:rPr>
          <w:u w:val="single"/>
        </w:rPr>
        <w:tab/>
      </w:r>
      <w:r w:rsidRPr="00225D80">
        <w:rPr>
          <w:u w:val="single"/>
        </w:rPr>
        <w:tab/>
      </w:r>
      <w:r w:rsidRPr="00225D80">
        <w:rPr>
          <w:u w:val="single"/>
        </w:rPr>
        <w:tab/>
      </w:r>
    </w:p>
    <w:p w:rsidR="00B127A8" w:rsidRPr="00225D80" w:rsidRDefault="00B127A8" w:rsidP="00B127A8"/>
    <w:p w:rsidR="00B127A8" w:rsidRPr="00225D80" w:rsidRDefault="00B127A8" w:rsidP="00B127A8">
      <w:pPr>
        <w:keepNext/>
        <w:keepLines/>
        <w:outlineLvl w:val="0"/>
        <w:rPr>
          <w:rFonts w:ascii="Calibri Light" w:hAnsi="Calibri Light"/>
          <w:color w:val="2E74B5"/>
          <w:sz w:val="32"/>
          <w:szCs w:val="32"/>
        </w:rPr>
      </w:pPr>
      <w:r w:rsidRPr="00225D80">
        <w:rPr>
          <w:szCs w:val="32"/>
        </w:rPr>
        <w:t xml:space="preserve">Vārds, uzvārds: </w:t>
      </w:r>
      <w:r w:rsidRPr="00225D80">
        <w:rPr>
          <w:szCs w:val="32"/>
          <w:u w:val="single"/>
        </w:rPr>
        <w:tab/>
      </w:r>
      <w:r w:rsidRPr="00225D80">
        <w:rPr>
          <w:szCs w:val="32"/>
          <w:u w:val="single"/>
        </w:rPr>
        <w:tab/>
      </w:r>
      <w:r w:rsidRPr="00225D80">
        <w:rPr>
          <w:szCs w:val="32"/>
          <w:u w:val="single"/>
        </w:rPr>
        <w:tab/>
      </w:r>
      <w:r w:rsidRPr="00225D80">
        <w:rPr>
          <w:szCs w:val="32"/>
          <w:u w:val="single"/>
        </w:rPr>
        <w:tab/>
      </w:r>
    </w:p>
    <w:p w:rsidR="00B127A8" w:rsidRPr="00225D80" w:rsidRDefault="00B127A8" w:rsidP="00B127A8"/>
    <w:p w:rsidR="00B127A8" w:rsidRPr="0057005B" w:rsidRDefault="00B127A8" w:rsidP="00B127A8">
      <w:pPr>
        <w:sectPr w:rsidR="00B127A8" w:rsidRPr="0057005B" w:rsidSect="00225D80">
          <w:pgSz w:w="11906" w:h="16838"/>
          <w:pgMar w:top="851" w:right="851" w:bottom="851" w:left="1701" w:header="709" w:footer="709" w:gutter="0"/>
          <w:cols w:space="708"/>
          <w:docGrid w:linePitch="360"/>
        </w:sectPr>
      </w:pPr>
      <w:r w:rsidRPr="00225D80">
        <w:t xml:space="preserve">Amats: </w:t>
      </w:r>
      <w:r>
        <w:rPr>
          <w:u w:val="single"/>
        </w:rPr>
        <w:tab/>
        <w:t>_______________________</w:t>
      </w:r>
    </w:p>
    <w:p w:rsidR="00B127A8" w:rsidRDefault="00B127A8" w:rsidP="00B127A8">
      <w:pPr>
        <w:rPr>
          <w:b/>
          <w:bCs/>
          <w:caps/>
          <w:sz w:val="26"/>
          <w:szCs w:val="26"/>
        </w:rPr>
      </w:pPr>
    </w:p>
    <w:p w:rsidR="00B127A8" w:rsidRPr="00B127A8" w:rsidRDefault="00B127A8" w:rsidP="00B127A8">
      <w:pPr>
        <w:jc w:val="center"/>
        <w:rPr>
          <w:b/>
          <w:bCs/>
          <w:caps/>
          <w:sz w:val="26"/>
          <w:szCs w:val="26"/>
        </w:rPr>
      </w:pPr>
      <w:r>
        <w:rPr>
          <w:b/>
          <w:bCs/>
          <w:caps/>
          <w:sz w:val="26"/>
          <w:szCs w:val="26"/>
        </w:rPr>
        <w:t>Finanšu piedāvājuma forma</w:t>
      </w:r>
    </w:p>
    <w:p w:rsidR="00B127A8" w:rsidRDefault="00B127A8" w:rsidP="00B127A8">
      <w:pPr>
        <w:pStyle w:val="BodyText2"/>
        <w:spacing w:after="0" w:line="240" w:lineRule="auto"/>
        <w:jc w:val="both"/>
      </w:pPr>
    </w:p>
    <w:tbl>
      <w:tblPr>
        <w:tblW w:w="9344" w:type="dxa"/>
        <w:tblCellMar>
          <w:left w:w="10" w:type="dxa"/>
          <w:right w:w="10" w:type="dxa"/>
        </w:tblCellMar>
        <w:tblLook w:val="0000" w:firstRow="0" w:lastRow="0" w:firstColumn="0" w:lastColumn="0" w:noHBand="0" w:noVBand="0"/>
      </w:tblPr>
      <w:tblGrid>
        <w:gridCol w:w="888"/>
        <w:gridCol w:w="7187"/>
        <w:gridCol w:w="1269"/>
      </w:tblGrid>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rPr>
                <w:b/>
              </w:rPr>
            </w:pPr>
            <w:proofErr w:type="spellStart"/>
            <w:r>
              <w:rPr>
                <w:b/>
              </w:rPr>
              <w:t>N.p.k</w:t>
            </w:r>
            <w:proofErr w:type="spellEnd"/>
            <w:r>
              <w:rPr>
                <w:b/>
              </w:rPr>
              <w:t>.</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rPr>
                <w:b/>
              </w:rPr>
            </w:pPr>
            <w:r>
              <w:rPr>
                <w:b/>
              </w:rPr>
              <w:t>Laboratoriskie izmeklējumi</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rPr>
                <w:b/>
              </w:rPr>
            </w:pPr>
            <w:r>
              <w:rPr>
                <w:b/>
              </w:rPr>
              <w:t>Cena EUR bez PVN</w:t>
            </w: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 xml:space="preserve">1. </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r>
              <w:t>Pilna asins aina (</w:t>
            </w:r>
            <w:proofErr w:type="spellStart"/>
            <w:r>
              <w:t>Hb,L,Er,Ht,Tr,Kr.ind.,L</w:t>
            </w:r>
            <w:proofErr w:type="spellEnd"/>
            <w:r>
              <w:t xml:space="preserve"> </w:t>
            </w:r>
            <w:proofErr w:type="spellStart"/>
            <w:r>
              <w:t>formula+EGĀ</w:t>
            </w:r>
            <w:proofErr w:type="spellEnd"/>
            <w: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2.</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r>
              <w:t>Nepilna asins aina (</w:t>
            </w:r>
            <w:proofErr w:type="spellStart"/>
            <w:r>
              <w:t>Hb,L,Er,Ht,Tr,Kr.ind</w:t>
            </w:r>
            <w:proofErr w:type="spellEnd"/>
            <w:r>
              <w:t xml:space="preserve"> + EGĀ)</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3.</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Uzsējums uz patogēno zarnu floru</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 xml:space="preserve">4. </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Bilirubīns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ASAT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6.</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ALAT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7.</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Slēpto asiņu noteikšana fēcēs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8.</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RPR (SED)</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9.</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Urīna analīze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10.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proofErr w:type="spellStart"/>
            <w:r>
              <w:t>Protrombīna</w:t>
            </w:r>
            <w:proofErr w:type="spellEnd"/>
            <w:r>
              <w:t xml:space="preserve"> indekss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r>
              <w:t>11.</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overflowPunct w:val="0"/>
              <w:autoSpaceDE w:val="0"/>
              <w:spacing w:line="240" w:lineRule="auto"/>
              <w:jc w:val="both"/>
            </w:pPr>
            <w:r>
              <w:t>APTL</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pPr>
          </w:p>
        </w:tc>
      </w:tr>
      <w:tr w:rsidR="00B127A8" w:rsidTr="00963E0D">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center"/>
            </w:pP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B127A8">
            <w:pPr>
              <w:pStyle w:val="BodyText2"/>
              <w:spacing w:after="0" w:line="240" w:lineRule="auto"/>
              <w:ind w:left="1080"/>
              <w:jc w:val="right"/>
              <w:rPr>
                <w:b/>
              </w:rPr>
            </w:pPr>
            <w:r>
              <w:rPr>
                <w:b/>
              </w:rPr>
              <w:t xml:space="preserve">Kopā EUR bez PVN: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7A8" w:rsidRDefault="00B127A8" w:rsidP="00963E0D">
            <w:pPr>
              <w:pStyle w:val="BodyText2"/>
              <w:spacing w:after="0" w:line="240" w:lineRule="auto"/>
              <w:jc w:val="both"/>
              <w:rPr>
                <w:b/>
              </w:rPr>
            </w:pPr>
          </w:p>
        </w:tc>
      </w:tr>
    </w:tbl>
    <w:p w:rsidR="00B127A8" w:rsidRDefault="00B127A8" w:rsidP="00B127A8">
      <w:pPr>
        <w:pStyle w:val="BodyText2"/>
        <w:spacing w:after="0" w:line="240" w:lineRule="auto"/>
        <w:jc w:val="both"/>
      </w:pPr>
    </w:p>
    <w:p w:rsidR="00B127A8" w:rsidRDefault="00B127A8" w:rsidP="00B127A8">
      <w:pPr>
        <w:pStyle w:val="BodyText2"/>
        <w:spacing w:after="0" w:line="240" w:lineRule="auto"/>
        <w:jc w:val="both"/>
      </w:pPr>
    </w:p>
    <w:p w:rsidR="00B127A8" w:rsidRDefault="00B127A8" w:rsidP="00B127A8">
      <w:pPr>
        <w:pStyle w:val="BodyText2"/>
        <w:spacing w:after="0" w:line="240" w:lineRule="auto"/>
        <w:jc w:val="both"/>
      </w:pPr>
      <w:r>
        <w:t>Piedāvājuma cenā, ir iekļauti visi plānotie izdevumi un iekļautas visas izmaksas, kas nepieciešamas laboratorijas izmeklējumu veikšanai.</w:t>
      </w:r>
    </w:p>
    <w:p w:rsidR="00B127A8" w:rsidRDefault="00B127A8" w:rsidP="00B127A8">
      <w:pPr>
        <w:pStyle w:val="Header"/>
        <w:jc w:val="both"/>
        <w:rPr>
          <w:b/>
          <w:lang w:val="lv-LV"/>
        </w:rPr>
      </w:pPr>
    </w:p>
    <w:p w:rsidR="00B127A8" w:rsidRDefault="00B127A8" w:rsidP="00B127A8">
      <w:pPr>
        <w:pStyle w:val="Header"/>
        <w:jc w:val="both"/>
        <w:rPr>
          <w:lang w:val="lv-LV"/>
        </w:rPr>
      </w:pPr>
      <w:r>
        <w:rPr>
          <w:lang w:val="lv-LV"/>
        </w:rPr>
        <w:t>Visi aprēķini ir veikti, ņemot vērā visas iespējamās cenu un atalgojuma izmaiņas pakalpojuma sniegšanas laikā.</w:t>
      </w:r>
    </w:p>
    <w:p w:rsidR="00B127A8" w:rsidRDefault="00B127A8" w:rsidP="00B127A8">
      <w:pPr>
        <w:pStyle w:val="Header"/>
        <w:jc w:val="both"/>
        <w:rPr>
          <w:b/>
          <w:lang w:val="lv-LV"/>
        </w:rPr>
      </w:pPr>
    </w:p>
    <w:p w:rsidR="00B127A8" w:rsidRDefault="00B127A8" w:rsidP="00B127A8">
      <w:pPr>
        <w:widowControl w:val="0"/>
        <w:tabs>
          <w:tab w:val="left" w:pos="-716"/>
          <w:tab w:val="left" w:pos="0"/>
          <w:tab w:val="left" w:pos="1443"/>
          <w:tab w:val="left" w:pos="2163"/>
          <w:tab w:val="left" w:pos="2883"/>
          <w:tab w:val="left" w:pos="3603"/>
          <w:tab w:val="left" w:pos="4323"/>
          <w:tab w:val="left" w:pos="5043"/>
          <w:tab w:val="left" w:pos="5763"/>
          <w:tab w:val="left" w:pos="6483"/>
          <w:tab w:val="left" w:pos="7203"/>
          <w:tab w:val="left" w:pos="7923"/>
          <w:tab w:val="left" w:pos="8643"/>
        </w:tabs>
        <w:spacing w:after="53"/>
        <w:jc w:val="both"/>
      </w:pPr>
      <w:r>
        <w:t xml:space="preserve">Aizpildot finanšu piedāvājumu, ir ievērotas visas Tehniskajā specifikācijā noteiktās prasības. </w:t>
      </w:r>
    </w:p>
    <w:p w:rsidR="00B127A8" w:rsidRDefault="00B127A8" w:rsidP="00B127A8">
      <w:pPr>
        <w:rPr>
          <w:b/>
          <w:bCs/>
        </w:rPr>
      </w:pPr>
    </w:p>
    <w:p w:rsidR="00B127A8" w:rsidRDefault="00B127A8" w:rsidP="00B127A8">
      <w:pPr>
        <w:rPr>
          <w:b/>
        </w:rPr>
      </w:pPr>
      <w:r w:rsidRPr="0057005B">
        <w:t>Pretendenta nosaukums:</w:t>
      </w:r>
      <w:r>
        <w:rPr>
          <w:b/>
        </w:rPr>
        <w:t xml:space="preserve"> ________________________</w:t>
      </w:r>
    </w:p>
    <w:p w:rsidR="00B127A8" w:rsidRDefault="00B127A8" w:rsidP="00B127A8">
      <w:pPr>
        <w:rPr>
          <w:b/>
        </w:rPr>
      </w:pPr>
    </w:p>
    <w:p w:rsidR="00B127A8" w:rsidRDefault="00B127A8" w:rsidP="00B127A8">
      <w:pPr>
        <w:rPr>
          <w:u w:val="single"/>
        </w:rPr>
      </w:pPr>
      <w:r w:rsidRPr="00225D80">
        <w:t xml:space="preserve">Paraksts: </w:t>
      </w:r>
      <w:r w:rsidRPr="00225D80">
        <w:rPr>
          <w:u w:val="single"/>
        </w:rPr>
        <w:tab/>
      </w:r>
      <w:r w:rsidRPr="00225D80">
        <w:rPr>
          <w:u w:val="single"/>
        </w:rPr>
        <w:tab/>
      </w:r>
      <w:r w:rsidRPr="00225D80">
        <w:rPr>
          <w:u w:val="single"/>
        </w:rPr>
        <w:tab/>
      </w:r>
      <w:r w:rsidRPr="00225D80">
        <w:rPr>
          <w:u w:val="single"/>
        </w:rPr>
        <w:tab/>
      </w:r>
      <w:r w:rsidRPr="00225D80">
        <w:rPr>
          <w:u w:val="single"/>
        </w:rPr>
        <w:tab/>
      </w:r>
    </w:p>
    <w:p w:rsidR="00B127A8" w:rsidRPr="00225D80" w:rsidRDefault="00B127A8" w:rsidP="00B127A8"/>
    <w:p w:rsidR="00B127A8" w:rsidRPr="00225D80" w:rsidRDefault="00B127A8" w:rsidP="00B127A8">
      <w:pPr>
        <w:keepNext/>
        <w:keepLines/>
        <w:outlineLvl w:val="0"/>
        <w:rPr>
          <w:rFonts w:ascii="Calibri Light" w:hAnsi="Calibri Light"/>
          <w:color w:val="2E74B5"/>
          <w:sz w:val="32"/>
          <w:szCs w:val="32"/>
        </w:rPr>
      </w:pPr>
      <w:r w:rsidRPr="00225D80">
        <w:rPr>
          <w:szCs w:val="32"/>
        </w:rPr>
        <w:t xml:space="preserve">Vārds, uzvārds: </w:t>
      </w:r>
      <w:r w:rsidRPr="00225D80">
        <w:rPr>
          <w:szCs w:val="32"/>
          <w:u w:val="single"/>
        </w:rPr>
        <w:tab/>
      </w:r>
      <w:r w:rsidRPr="00225D80">
        <w:rPr>
          <w:szCs w:val="32"/>
          <w:u w:val="single"/>
        </w:rPr>
        <w:tab/>
      </w:r>
      <w:r w:rsidRPr="00225D80">
        <w:rPr>
          <w:szCs w:val="32"/>
          <w:u w:val="single"/>
        </w:rPr>
        <w:tab/>
      </w:r>
      <w:r w:rsidRPr="00225D80">
        <w:rPr>
          <w:szCs w:val="32"/>
          <w:u w:val="single"/>
        </w:rPr>
        <w:tab/>
      </w:r>
    </w:p>
    <w:p w:rsidR="00B127A8" w:rsidRPr="00225D80" w:rsidRDefault="00B127A8" w:rsidP="00B127A8"/>
    <w:p w:rsidR="00B127A8" w:rsidRPr="0057005B" w:rsidRDefault="00B127A8" w:rsidP="00B127A8">
      <w:pPr>
        <w:sectPr w:rsidR="00B127A8" w:rsidRPr="0057005B" w:rsidSect="00225D80">
          <w:pgSz w:w="11906" w:h="16838"/>
          <w:pgMar w:top="851" w:right="851" w:bottom="851" w:left="1701" w:header="709" w:footer="709" w:gutter="0"/>
          <w:cols w:space="708"/>
          <w:docGrid w:linePitch="360"/>
        </w:sectPr>
      </w:pPr>
      <w:r w:rsidRPr="00225D80">
        <w:t xml:space="preserve">Amats: </w:t>
      </w:r>
      <w:r>
        <w:rPr>
          <w:u w:val="single"/>
        </w:rPr>
        <w:tab/>
        <w:t>____________________</w:t>
      </w:r>
    </w:p>
    <w:p w:rsidR="00F278ED" w:rsidRDefault="00F278ED" w:rsidP="00B127A8"/>
    <w:sectPr w:rsidR="00F27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E1D"/>
    <w:multiLevelType w:val="multilevel"/>
    <w:tmpl w:val="CB9A759A"/>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55BF5901"/>
    <w:multiLevelType w:val="multilevel"/>
    <w:tmpl w:val="714289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5513ED"/>
    <w:multiLevelType w:val="multilevel"/>
    <w:tmpl w:val="15F81A64"/>
    <w:lvl w:ilvl="0">
      <w:start w:val="1"/>
      <w:numFmt w:val="decimal"/>
      <w:lvlText w:val="%1."/>
      <w:lvlJc w:val="left"/>
      <w:pPr>
        <w:ind w:left="450" w:hanging="450"/>
      </w:pPr>
      <w:rPr>
        <w:sz w:val="24"/>
      </w:rPr>
    </w:lvl>
    <w:lvl w:ilvl="1">
      <w:start w:val="1"/>
      <w:numFmt w:val="decimal"/>
      <w:lvlText w:val="%1.%2."/>
      <w:lvlJc w:val="left"/>
      <w:pPr>
        <w:ind w:left="1230" w:hanging="450"/>
      </w:pPr>
      <w:rPr>
        <w:b w:val="0"/>
        <w:sz w:val="24"/>
      </w:rPr>
    </w:lvl>
    <w:lvl w:ilvl="2">
      <w:start w:val="1"/>
      <w:numFmt w:val="decimal"/>
      <w:lvlText w:val="%1.%2.%3."/>
      <w:lvlJc w:val="left"/>
      <w:pPr>
        <w:ind w:left="2280" w:hanging="720"/>
      </w:pPr>
      <w:rPr>
        <w:sz w:val="24"/>
      </w:rPr>
    </w:lvl>
    <w:lvl w:ilvl="3">
      <w:start w:val="1"/>
      <w:numFmt w:val="decimal"/>
      <w:lvlText w:val="%1.%2.%3.%4."/>
      <w:lvlJc w:val="left"/>
      <w:pPr>
        <w:ind w:left="3060" w:hanging="720"/>
      </w:pPr>
      <w:rPr>
        <w:sz w:val="24"/>
      </w:rPr>
    </w:lvl>
    <w:lvl w:ilvl="4">
      <w:start w:val="1"/>
      <w:numFmt w:val="decimal"/>
      <w:lvlText w:val="%1.%2.%3.%4.%5."/>
      <w:lvlJc w:val="left"/>
      <w:pPr>
        <w:ind w:left="4200" w:hanging="1080"/>
      </w:pPr>
      <w:rPr>
        <w:sz w:val="24"/>
      </w:rPr>
    </w:lvl>
    <w:lvl w:ilvl="5">
      <w:start w:val="1"/>
      <w:numFmt w:val="decimal"/>
      <w:lvlText w:val="%1.%2.%3.%4.%5.%6."/>
      <w:lvlJc w:val="left"/>
      <w:pPr>
        <w:ind w:left="4980" w:hanging="1080"/>
      </w:pPr>
      <w:rPr>
        <w:sz w:val="24"/>
      </w:rPr>
    </w:lvl>
    <w:lvl w:ilvl="6">
      <w:start w:val="1"/>
      <w:numFmt w:val="decimal"/>
      <w:lvlText w:val="%1.%2.%3.%4.%5.%6.%7."/>
      <w:lvlJc w:val="left"/>
      <w:pPr>
        <w:ind w:left="6120" w:hanging="1440"/>
      </w:pPr>
      <w:rPr>
        <w:sz w:val="24"/>
      </w:rPr>
    </w:lvl>
    <w:lvl w:ilvl="7">
      <w:start w:val="1"/>
      <w:numFmt w:val="decimal"/>
      <w:lvlText w:val="%1.%2.%3.%4.%5.%6.%7.%8."/>
      <w:lvlJc w:val="left"/>
      <w:pPr>
        <w:ind w:left="6900" w:hanging="1440"/>
      </w:pPr>
      <w:rPr>
        <w:sz w:val="24"/>
      </w:rPr>
    </w:lvl>
    <w:lvl w:ilvl="8">
      <w:start w:val="1"/>
      <w:numFmt w:val="decimal"/>
      <w:lvlText w:val="%1.%2.%3.%4.%5.%6.%7.%8.%9."/>
      <w:lvlJc w:val="left"/>
      <w:pPr>
        <w:ind w:left="8040" w:hanging="1800"/>
      </w:pPr>
      <w:rPr>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A8"/>
    <w:rsid w:val="0040039F"/>
    <w:rsid w:val="00B127A8"/>
    <w:rsid w:val="00F2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34FC-80C7-4CE0-9FF5-61577730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7A8"/>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A8"/>
    <w:pPr>
      <w:tabs>
        <w:tab w:val="center" w:pos="4153"/>
        <w:tab w:val="right" w:pos="8306"/>
      </w:tabs>
    </w:pPr>
    <w:rPr>
      <w:lang w:val="en-US"/>
    </w:rPr>
  </w:style>
  <w:style w:type="character" w:customStyle="1" w:styleId="HeaderChar">
    <w:name w:val="Header Char"/>
    <w:basedOn w:val="DefaultParagraphFont"/>
    <w:link w:val="Header"/>
    <w:rsid w:val="00B127A8"/>
    <w:rPr>
      <w:rFonts w:ascii="Times New Roman" w:eastAsia="Times New Roman" w:hAnsi="Times New Roman" w:cs="Times New Roman"/>
      <w:sz w:val="24"/>
      <w:szCs w:val="24"/>
      <w:lang w:val="en-US" w:eastAsia="lv-LV"/>
    </w:rPr>
  </w:style>
  <w:style w:type="paragraph" w:styleId="BodyText2">
    <w:name w:val="Body Text 2"/>
    <w:basedOn w:val="Normal"/>
    <w:link w:val="BodyText2Char"/>
    <w:rsid w:val="00B127A8"/>
    <w:pPr>
      <w:spacing w:after="120" w:line="480" w:lineRule="auto"/>
    </w:pPr>
  </w:style>
  <w:style w:type="character" w:customStyle="1" w:styleId="BodyText2Char">
    <w:name w:val="Body Text 2 Char"/>
    <w:basedOn w:val="DefaultParagraphFont"/>
    <w:link w:val="BodyText2"/>
    <w:rsid w:val="00B127A8"/>
    <w:rPr>
      <w:rFonts w:ascii="Times New Roman" w:eastAsia="Times New Roman" w:hAnsi="Times New Roman" w:cs="Times New Roman"/>
      <w:sz w:val="24"/>
      <w:szCs w:val="24"/>
      <w:lang w:eastAsia="lv-LV"/>
    </w:rPr>
  </w:style>
  <w:style w:type="paragraph" w:styleId="ListParagraph">
    <w:name w:val="List Paragraph"/>
    <w:basedOn w:val="Normal"/>
    <w:rsid w:val="00B127A8"/>
    <w:pPr>
      <w:spacing w:after="60"/>
      <w:ind w:left="720"/>
      <w:jc w:val="both"/>
    </w:pPr>
    <w:rPr>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1764</Words>
  <Characters>1006</Characters>
  <Application>Microsoft Office Word</Application>
  <DocSecurity>0</DocSecurity>
  <Lines>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Vārds, uzvārds: 				</vt:lpstr>
      <vt:lpstr>Vārds, uzvārds: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Uldrike</dc:creator>
  <cp:keywords/>
  <dc:description/>
  <cp:lastModifiedBy>Aija Uldrike</cp:lastModifiedBy>
  <cp:revision>3</cp:revision>
  <dcterms:created xsi:type="dcterms:W3CDTF">2017-11-02T08:02:00Z</dcterms:created>
  <dcterms:modified xsi:type="dcterms:W3CDTF">2020-01-02T08:08:00Z</dcterms:modified>
</cp:coreProperties>
</file>